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22231C" w:rsidTr="0022231C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2231C" w:rsidRDefault="0022231C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22231C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22231C" w:rsidRDefault="0022231C" w:rsidP="0022231C">
                  <w:pPr>
                    <w:jc w:val="both"/>
                  </w:pPr>
                  <w:r>
                    <w:rPr>
                      <w:color w:val="000000"/>
                    </w:rPr>
                    <w:t>Приложение № 1</w:t>
                  </w:r>
                  <w:r>
                    <w:rPr>
                      <w:color w:val="000000"/>
                    </w:rPr>
                    <w:t>1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20.12.2023 г. №628( в р</w:t>
                  </w:r>
                  <w:r>
                    <w:rPr>
                      <w:color w:val="000000"/>
                    </w:rPr>
                    <w:t>е</w:t>
                  </w:r>
                  <w:r>
                    <w:rPr>
                      <w:color w:val="000000"/>
                    </w:rPr>
                    <w:t>дакции Решения МС№ 638 от 14.02.2024 года)</w:t>
                  </w:r>
                </w:p>
              </w:tc>
            </w:tr>
          </w:tbl>
          <w:p w:rsidR="0022231C" w:rsidRDefault="0022231C"/>
        </w:tc>
      </w:tr>
    </w:tbl>
    <w:p w:rsidR="0022231C" w:rsidRDefault="0022231C" w:rsidP="0022231C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22231C" w:rsidTr="0022231C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22231C" w:rsidRDefault="0022231C">
            <w:pPr>
              <w:ind w:firstLine="420"/>
              <w:jc w:val="center"/>
            </w:pPr>
            <w:r>
              <w:rPr>
                <w:bCs/>
                <w:color w:val="000000"/>
              </w:rPr>
              <w:t>Распределение иных межбюджетных трансфертов,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плановый период 2025 и 2026 годов</w:t>
            </w:r>
          </w:p>
        </w:tc>
      </w:tr>
    </w:tbl>
    <w:p w:rsidR="0022231C" w:rsidRDefault="0022231C" w:rsidP="0022231C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7651"/>
        <w:gridCol w:w="1417"/>
        <w:gridCol w:w="1417"/>
      </w:tblGrid>
      <w:tr w:rsidR="0022231C" w:rsidTr="0022231C">
        <w:trPr>
          <w:tblHeader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75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00"/>
            </w:tblGrid>
            <w:tr w:rsidR="0022231C">
              <w:trPr>
                <w:jc w:val="center"/>
              </w:trPr>
              <w:tc>
                <w:tcPr>
                  <w:tcW w:w="7505" w:type="dxa"/>
                  <w:hideMark/>
                </w:tcPr>
                <w:p w:rsidR="0022231C" w:rsidRDefault="0022231C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22231C" w:rsidRDefault="0022231C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1C" w:rsidRDefault="0022231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22231C">
              <w:trPr>
                <w:jc w:val="center"/>
              </w:trPr>
              <w:tc>
                <w:tcPr>
                  <w:tcW w:w="1267" w:type="dxa"/>
                  <w:hideMark/>
                </w:tcPr>
                <w:p w:rsidR="0022231C" w:rsidRDefault="0022231C">
                  <w:pPr>
                    <w:jc w:val="center"/>
                  </w:pPr>
                  <w:r>
                    <w:rPr>
                      <w:color w:val="000000"/>
                    </w:rPr>
                    <w:t xml:space="preserve">2025 год </w:t>
                  </w:r>
                </w:p>
                <w:p w:rsidR="0022231C" w:rsidRDefault="0022231C">
                  <w:pPr>
                    <w:jc w:val="center"/>
                  </w:pPr>
                  <w:r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22231C" w:rsidRDefault="0022231C">
            <w:pPr>
              <w:spacing w:line="0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2231C" w:rsidRDefault="0022231C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22231C">
              <w:trPr>
                <w:jc w:val="center"/>
              </w:trPr>
              <w:tc>
                <w:tcPr>
                  <w:tcW w:w="1267" w:type="dxa"/>
                  <w:hideMark/>
                </w:tcPr>
                <w:p w:rsidR="0022231C" w:rsidRDefault="0022231C">
                  <w:pPr>
                    <w:jc w:val="center"/>
                  </w:pPr>
                  <w:r>
                    <w:rPr>
                      <w:color w:val="000000"/>
                    </w:rPr>
                    <w:t xml:space="preserve">2026 год </w:t>
                  </w:r>
                </w:p>
                <w:p w:rsidR="0022231C" w:rsidRDefault="0022231C">
                  <w:pPr>
                    <w:jc w:val="center"/>
                  </w:pPr>
                  <w:r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22231C" w:rsidRDefault="0022231C">
            <w:pPr>
              <w:spacing w:line="0" w:lineRule="auto"/>
            </w:pP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721 970,72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750 849,55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721 970,72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750 849,55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 Осуществление мероприятий по организации библиотечного обслуживания насел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ния, комплектованию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383 141,87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398 467,55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383 141,87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398 467,55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 Иные межбюджетные трансферты на осуществление мероприятий по работе с дет</w:t>
            </w:r>
            <w:r>
              <w:rPr>
                <w:bCs/>
                <w:color w:val="000000"/>
              </w:rPr>
              <w:t>ь</w:t>
            </w:r>
            <w:r>
              <w:rPr>
                <w:bCs/>
                <w:color w:val="000000"/>
              </w:rPr>
              <w:t>ми и молодежью Борисоглебского сельского поселения за счет средств бюджета пос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81 692,72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84 960,43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81 692,72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84 960,43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4. Иные межбюджетные трансферты на осуществление мероприятий для развития ф</w:t>
            </w:r>
            <w:r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зической культуры и массового спорта на территории Борисоглебского сельского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107 541,99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111 843,67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107 541,99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111 843,67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 Межбюджетные трансферты на осуществление переданных полномочий в части организации уличного освещения в поселении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 Иные межбюджетные трансферты на осуществление части полномочий Борисогле</w:t>
            </w:r>
            <w:r>
              <w:rPr>
                <w:bCs/>
                <w:color w:val="000000"/>
              </w:rPr>
              <w:t>б</w:t>
            </w:r>
            <w:r>
              <w:rPr>
                <w:bCs/>
                <w:color w:val="000000"/>
              </w:rPr>
              <w:t>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сти создания условий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 Иные межбюджетные трансферты на осуществление переданных полномочий по исполнению бюджета поселения в части казначейского исполнения бюджета Борис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89 376,69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89 376,69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89 376,69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63 801,28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63 801,28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63 801,28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125 402,52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125 402,52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125 402,52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 xml:space="preserve">ния физической культуры и массового спорта и организации проведения официальных </w:t>
            </w:r>
            <w:r>
              <w:rPr>
                <w:bCs/>
                <w:color w:val="000000"/>
              </w:rPr>
              <w:lastRenderedPageBreak/>
              <w:t>физкультурно-оздоровительных и спортивных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17 600,35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17 600,35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17 600,35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 Иные межбюджетные трансферты на осуществление переданных полномочий по организации мероприятий по работе с детьми и молодежью в Борисоглебском сел</w:t>
            </w:r>
            <w:r>
              <w:rPr>
                <w:bCs/>
                <w:color w:val="000000"/>
              </w:rPr>
              <w:t>ь</w:t>
            </w:r>
            <w:r>
              <w:rPr>
                <w:bCs/>
                <w:color w:val="000000"/>
              </w:rPr>
              <w:t>ском поселении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13 200,27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13 200,27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13 200,27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 Иные межбюджетные трансферты на осуществление части полномочий Борис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72 300,00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 Межбюджетные трансферты на осуществление переданных полномочий по вну</w:t>
            </w: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>реннему муниципальному финансовому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8 329,48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8 329,48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8 329,48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 Межбюджетные трансферты на осуществление переданных полномочий по мун</w:t>
            </w:r>
            <w:r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ципальному жилищному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15 185,29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15 185,29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15 185,29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 Межбюджетные трансферты на осуществление переданных полномочий по мун</w:t>
            </w:r>
            <w:r>
              <w:rPr>
                <w:bCs/>
                <w:color w:val="000000"/>
              </w:rPr>
              <w:t>и</w:t>
            </w:r>
            <w:r>
              <w:rPr>
                <w:bCs/>
                <w:color w:val="000000"/>
              </w:rPr>
              <w:t>ципальному контролю в сфере благоустройства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30 370,58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30 370,58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30 370,58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 Межбюджетные трансферты на осуществление переданных полномочий по орг</w:t>
            </w:r>
            <w:r>
              <w:rPr>
                <w:bCs/>
                <w:color w:val="000000"/>
              </w:rPr>
              <w:t>а</w:t>
            </w:r>
            <w:r>
              <w:rPr>
                <w:bCs/>
                <w:color w:val="000000"/>
              </w:rPr>
              <w:t>низации уличного освещения в поселении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80 851,52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80 851,52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color w:val="000000"/>
              </w:rPr>
            </w:pPr>
            <w:r>
              <w:rPr>
                <w:color w:val="000000"/>
              </w:rPr>
              <w:t>Борисоглебский муниципальный район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80 851,52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80 851,52</w:t>
            </w:r>
          </w:p>
        </w:tc>
      </w:tr>
      <w:tr w:rsidR="0022231C" w:rsidTr="0022231C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3 090 765,28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2231C" w:rsidRDefault="0022231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1 790 239,18</w:t>
            </w:r>
          </w:p>
        </w:tc>
      </w:tr>
    </w:tbl>
    <w:p w:rsidR="0022231C" w:rsidRDefault="0022231C" w:rsidP="0022231C"/>
    <w:p w:rsidR="0022231C" w:rsidRDefault="0022231C" w:rsidP="0022231C"/>
    <w:p w:rsidR="00EF723F" w:rsidRPr="0022231C" w:rsidRDefault="00EF723F" w:rsidP="0022231C"/>
    <w:sectPr w:rsidR="00EF723F" w:rsidRPr="0022231C" w:rsidSect="00A718B6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E9F" w:rsidRDefault="00C55E9F" w:rsidP="00A718B6">
      <w:r>
        <w:separator/>
      </w:r>
    </w:p>
  </w:endnote>
  <w:endnote w:type="continuationSeparator" w:id="0">
    <w:p w:rsidR="00C55E9F" w:rsidRDefault="00C55E9F" w:rsidP="00A7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718B6">
      <w:tc>
        <w:tcPr>
          <w:tcW w:w="10704" w:type="dxa"/>
        </w:tcPr>
        <w:p w:rsidR="00A718B6" w:rsidRDefault="00EF723F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718B6" w:rsidRDefault="00A718B6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E9F" w:rsidRDefault="00C55E9F" w:rsidP="00A718B6">
      <w:r>
        <w:separator/>
      </w:r>
    </w:p>
  </w:footnote>
  <w:footnote w:type="continuationSeparator" w:id="0">
    <w:p w:rsidR="00C55E9F" w:rsidRDefault="00C55E9F" w:rsidP="00A71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718B6">
      <w:tc>
        <w:tcPr>
          <w:tcW w:w="10704" w:type="dxa"/>
        </w:tcPr>
        <w:p w:rsidR="00A718B6" w:rsidRDefault="00A718B6">
          <w:pPr>
            <w:jc w:val="center"/>
            <w:rPr>
              <w:color w:val="000000"/>
            </w:rPr>
          </w:pPr>
          <w:r>
            <w:fldChar w:fldCharType="begin"/>
          </w:r>
          <w:r w:rsidR="00EF723F">
            <w:rPr>
              <w:color w:val="000000"/>
            </w:rPr>
            <w:instrText>PAGE</w:instrText>
          </w:r>
          <w:r>
            <w:fldChar w:fldCharType="separate"/>
          </w:r>
          <w:r w:rsidR="0022231C">
            <w:rPr>
              <w:noProof/>
              <w:color w:val="000000"/>
            </w:rPr>
            <w:t>2</w:t>
          </w:r>
          <w:r>
            <w:fldChar w:fldCharType="end"/>
          </w:r>
        </w:p>
        <w:p w:rsidR="00A718B6" w:rsidRDefault="00A718B6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8B6"/>
    <w:rsid w:val="0022231C"/>
    <w:rsid w:val="00A718B6"/>
    <w:rsid w:val="00B822A4"/>
    <w:rsid w:val="00C55E9F"/>
    <w:rsid w:val="00E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718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22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2023-12-28T08:34:00Z</cp:lastPrinted>
  <dcterms:created xsi:type="dcterms:W3CDTF">2023-12-28T08:34:00Z</dcterms:created>
  <dcterms:modified xsi:type="dcterms:W3CDTF">2024-02-21T10:48:00Z</dcterms:modified>
</cp:coreProperties>
</file>