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F83D15" w:rsidRPr="000D23A2" w:rsidTr="00420D4F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D15" w:rsidRPr="000D23A2" w:rsidRDefault="00F83D15" w:rsidP="00420D4F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F83D15" w:rsidRPr="000D23A2" w:rsidTr="00420D4F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F83D15" w:rsidRPr="000D23A2" w:rsidRDefault="00F83D15" w:rsidP="00F83D15">
                  <w:pPr>
                    <w:jc w:val="both"/>
                  </w:pPr>
                  <w:r w:rsidRPr="000D23A2"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 xml:space="preserve"> </w:t>
                  </w:r>
                  <w:r w:rsidRPr="000D23A2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1</w:t>
                  </w:r>
                  <w:bookmarkStart w:id="0" w:name="_GoBack"/>
                  <w:bookmarkEnd w:id="0"/>
                  <w:r w:rsidRPr="000D23A2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год №571(в редакции Решения МС № 598 от 22.05.2023 г</w:t>
                  </w:r>
                  <w:r w:rsidRPr="000D23A2">
                    <w:rPr>
                      <w:color w:val="000000"/>
                    </w:rPr>
                    <w:t>о</w:t>
                  </w:r>
                  <w:r w:rsidRPr="000D23A2">
                    <w:rPr>
                      <w:color w:val="000000"/>
                    </w:rPr>
                    <w:t>да)</w:t>
                  </w:r>
                </w:p>
              </w:tc>
            </w:tr>
          </w:tbl>
          <w:p w:rsidR="00F83D15" w:rsidRPr="000D23A2" w:rsidRDefault="00F83D15" w:rsidP="00420D4F">
            <w:pPr>
              <w:spacing w:line="1" w:lineRule="auto"/>
            </w:pPr>
          </w:p>
        </w:tc>
      </w:tr>
    </w:tbl>
    <w:p w:rsidR="00F83D15" w:rsidRPr="000D23A2" w:rsidRDefault="00F83D15" w:rsidP="00F83D15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83D15" w:rsidRPr="000D23A2" w:rsidTr="00420D4F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F83D15" w:rsidRPr="000D23A2" w:rsidRDefault="00F83D15" w:rsidP="00420D4F">
            <w:pPr>
              <w:ind w:firstLine="420"/>
              <w:jc w:val="center"/>
            </w:pPr>
            <w:r w:rsidRPr="000D23A2">
              <w:rPr>
                <w:b/>
                <w:bCs/>
                <w:color w:val="000000"/>
              </w:rPr>
              <w:t>Распределение иных межбюджетных трансфертов, передаваемых бюджетам муниципальных районов из бюджетов сельских поселений на осуществление части полномочий по решению вопросов местного значения на плановый период 2024 и 2025 годов</w:t>
            </w:r>
          </w:p>
        </w:tc>
      </w:tr>
    </w:tbl>
    <w:p w:rsidR="00F83D15" w:rsidRPr="000D23A2" w:rsidRDefault="00F83D15" w:rsidP="00F83D15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089"/>
        <w:gridCol w:w="1700"/>
        <w:gridCol w:w="1700"/>
      </w:tblGrid>
      <w:tr w:rsidR="00F83D15" w:rsidRPr="000D23A2" w:rsidTr="00420D4F">
        <w:trPr>
          <w:tblHeader/>
        </w:trPr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93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39"/>
            </w:tblGrid>
            <w:tr w:rsidR="00F83D15" w:rsidRPr="000D23A2" w:rsidTr="00420D4F">
              <w:trPr>
                <w:jc w:val="center"/>
              </w:trPr>
              <w:tc>
                <w:tcPr>
                  <w:tcW w:w="693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D15" w:rsidRPr="000D23A2" w:rsidRDefault="00F83D15" w:rsidP="00420D4F">
                  <w:pPr>
                    <w:jc w:val="center"/>
                  </w:pPr>
                  <w:r w:rsidRPr="000D23A2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F83D15" w:rsidRPr="000D23A2" w:rsidRDefault="00F83D15" w:rsidP="00420D4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D15" w:rsidRPr="000D23A2" w:rsidRDefault="00F83D15" w:rsidP="00420D4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F83D15" w:rsidRPr="000D23A2" w:rsidTr="00420D4F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D15" w:rsidRPr="000D23A2" w:rsidRDefault="00F83D15" w:rsidP="00420D4F">
                  <w:pPr>
                    <w:jc w:val="center"/>
                  </w:pPr>
                  <w:r w:rsidRPr="000D23A2">
                    <w:rPr>
                      <w:color w:val="000000"/>
                    </w:rPr>
                    <w:t xml:space="preserve">2024 год </w:t>
                  </w:r>
                </w:p>
                <w:p w:rsidR="00F83D15" w:rsidRPr="000D23A2" w:rsidRDefault="00F83D15" w:rsidP="00420D4F">
                  <w:pPr>
                    <w:jc w:val="center"/>
                  </w:pPr>
                  <w:r w:rsidRPr="000D23A2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F83D15" w:rsidRPr="000D23A2" w:rsidRDefault="00F83D15" w:rsidP="00420D4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D15" w:rsidRPr="000D23A2" w:rsidRDefault="00F83D15" w:rsidP="00420D4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F83D15" w:rsidRPr="000D23A2" w:rsidTr="00420D4F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D15" w:rsidRPr="000D23A2" w:rsidRDefault="00F83D15" w:rsidP="00420D4F">
                  <w:pPr>
                    <w:jc w:val="center"/>
                  </w:pPr>
                  <w:r w:rsidRPr="000D23A2">
                    <w:rPr>
                      <w:color w:val="000000"/>
                    </w:rPr>
                    <w:t xml:space="preserve">2025 год </w:t>
                  </w:r>
                </w:p>
                <w:p w:rsidR="00F83D15" w:rsidRPr="000D23A2" w:rsidRDefault="00F83D15" w:rsidP="00420D4F">
                  <w:pPr>
                    <w:jc w:val="center"/>
                  </w:pPr>
                  <w:r w:rsidRPr="000D23A2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F83D15" w:rsidRPr="000D23A2" w:rsidRDefault="00F83D15" w:rsidP="00420D4F">
            <w:pPr>
              <w:spacing w:line="1" w:lineRule="auto"/>
            </w:pPr>
          </w:p>
        </w:tc>
      </w:tr>
      <w:tr w:rsidR="00F83D15" w:rsidRPr="000D23A2" w:rsidTr="00420D4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1. Осуществление дорожной деятельности в отношении автомобильных дорог местного значения вне границ населенных пунктов в границах пос</w:t>
            </w:r>
            <w:r w:rsidRPr="000D23A2">
              <w:rPr>
                <w:b/>
                <w:bCs/>
                <w:color w:val="000000"/>
              </w:rPr>
              <w:t>е</w:t>
            </w:r>
            <w:r w:rsidRPr="000D23A2">
              <w:rPr>
                <w:b/>
                <w:bCs/>
                <w:color w:val="000000"/>
              </w:rPr>
              <w:t>ления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2 938 169,50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0,00</w:t>
            </w:r>
          </w:p>
        </w:tc>
      </w:tr>
      <w:tr w:rsidR="00F83D15" w:rsidRPr="000D23A2" w:rsidTr="00420D4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rPr>
                <w:color w:val="000000"/>
              </w:rPr>
            </w:pPr>
            <w:r w:rsidRPr="000D23A2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color w:val="000000"/>
              </w:rPr>
            </w:pPr>
            <w:r w:rsidRPr="000D23A2">
              <w:rPr>
                <w:color w:val="000000"/>
              </w:rPr>
              <w:t>2 938 169,50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color w:val="000000"/>
              </w:rPr>
            </w:pPr>
            <w:r w:rsidRPr="000D23A2">
              <w:rPr>
                <w:color w:val="000000"/>
              </w:rPr>
              <w:t>0,00</w:t>
            </w:r>
          </w:p>
        </w:tc>
      </w:tr>
      <w:tr w:rsidR="00F83D15" w:rsidRPr="000D23A2" w:rsidTr="00420D4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2. Межбюджетные трансферты на осуществление мероприятий по фина</w:t>
            </w:r>
            <w:r w:rsidRPr="000D23A2">
              <w:rPr>
                <w:b/>
                <w:bCs/>
                <w:color w:val="000000"/>
              </w:rPr>
              <w:t>н</w:t>
            </w:r>
            <w:r w:rsidRPr="000D23A2">
              <w:rPr>
                <w:b/>
                <w:bCs/>
                <w:color w:val="000000"/>
              </w:rPr>
              <w:t>сированию дорожного хозяйства за счет средств бюджета поселения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154 640,50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0,00</w:t>
            </w:r>
          </w:p>
        </w:tc>
      </w:tr>
      <w:tr w:rsidR="00F83D15" w:rsidRPr="000D23A2" w:rsidTr="00420D4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rPr>
                <w:color w:val="000000"/>
              </w:rPr>
            </w:pPr>
            <w:r w:rsidRPr="000D23A2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color w:val="000000"/>
              </w:rPr>
            </w:pPr>
            <w:r w:rsidRPr="000D23A2">
              <w:rPr>
                <w:color w:val="000000"/>
              </w:rPr>
              <w:t>154 640,50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color w:val="000000"/>
              </w:rPr>
            </w:pPr>
            <w:r w:rsidRPr="000D23A2">
              <w:rPr>
                <w:color w:val="000000"/>
              </w:rPr>
              <w:t>0,00</w:t>
            </w:r>
          </w:p>
        </w:tc>
      </w:tr>
      <w:tr w:rsidR="00F83D15" w:rsidRPr="000D23A2" w:rsidTr="00420D4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3. Межбюджетные трансферты на реализацию мероприятий по капитал</w:t>
            </w:r>
            <w:r w:rsidRPr="000D23A2">
              <w:rPr>
                <w:b/>
                <w:bCs/>
                <w:color w:val="000000"/>
              </w:rPr>
              <w:t>ь</w:t>
            </w:r>
            <w:r w:rsidRPr="000D23A2">
              <w:rPr>
                <w:b/>
                <w:bCs/>
                <w:color w:val="000000"/>
              </w:rPr>
              <w:t>ному ремонту и ремонту дорожных объектов муниципальной собственн</w:t>
            </w:r>
            <w:r w:rsidRPr="000D23A2">
              <w:rPr>
                <w:b/>
                <w:bCs/>
                <w:color w:val="000000"/>
              </w:rPr>
              <w:t>о</w:t>
            </w:r>
            <w:r w:rsidRPr="000D23A2">
              <w:rPr>
                <w:b/>
                <w:bCs/>
                <w:color w:val="000000"/>
              </w:rPr>
              <w:t>сти за счет средств бюджета поселения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1 315 790,00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0,00</w:t>
            </w:r>
          </w:p>
        </w:tc>
      </w:tr>
      <w:tr w:rsidR="00F83D15" w:rsidRPr="000D23A2" w:rsidTr="00420D4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rPr>
                <w:color w:val="000000"/>
              </w:rPr>
            </w:pPr>
            <w:r w:rsidRPr="000D23A2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color w:val="000000"/>
              </w:rPr>
            </w:pPr>
            <w:r w:rsidRPr="000D23A2">
              <w:rPr>
                <w:color w:val="000000"/>
              </w:rPr>
              <w:t>1 315 790,00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color w:val="000000"/>
              </w:rPr>
            </w:pPr>
            <w:r w:rsidRPr="000D23A2">
              <w:rPr>
                <w:color w:val="000000"/>
              </w:rPr>
              <w:t>0,00</w:t>
            </w:r>
          </w:p>
        </w:tc>
      </w:tr>
      <w:tr w:rsidR="00F83D15" w:rsidRPr="000D23A2" w:rsidTr="00420D4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4. Межбюджетные трансферты на реализацию мероприятий по приведению в нормативное состояние автомобильных дорог местного значения, обесп</w:t>
            </w:r>
            <w:r w:rsidRPr="000D23A2">
              <w:rPr>
                <w:b/>
                <w:bCs/>
                <w:color w:val="000000"/>
              </w:rPr>
              <w:t>е</w:t>
            </w:r>
            <w:r w:rsidRPr="000D23A2">
              <w:rPr>
                <w:b/>
                <w:bCs/>
                <w:color w:val="000000"/>
              </w:rPr>
              <w:t>чивающих подъезды к объектам социального назначения, за счет средств бюджета поселения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190 214,00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0,00</w:t>
            </w:r>
          </w:p>
        </w:tc>
      </w:tr>
      <w:tr w:rsidR="00F83D15" w:rsidRPr="000D23A2" w:rsidTr="00420D4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rPr>
                <w:color w:val="000000"/>
              </w:rPr>
            </w:pPr>
            <w:r w:rsidRPr="000D23A2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color w:val="000000"/>
              </w:rPr>
            </w:pPr>
            <w:r w:rsidRPr="000D23A2">
              <w:rPr>
                <w:color w:val="000000"/>
              </w:rPr>
              <w:t>190 214,00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color w:val="000000"/>
              </w:rPr>
            </w:pPr>
            <w:r w:rsidRPr="000D23A2">
              <w:rPr>
                <w:color w:val="000000"/>
              </w:rPr>
              <w:t>0,00</w:t>
            </w:r>
          </w:p>
        </w:tc>
      </w:tr>
      <w:tr w:rsidR="00F83D15" w:rsidRPr="000D23A2" w:rsidTr="00420D4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5. Межбюджетные трансферты на реализацию мероприятий по капитал</w:t>
            </w:r>
            <w:r w:rsidRPr="000D23A2">
              <w:rPr>
                <w:b/>
                <w:bCs/>
                <w:color w:val="000000"/>
              </w:rPr>
              <w:t>ь</w:t>
            </w:r>
            <w:r w:rsidRPr="000D23A2">
              <w:rPr>
                <w:b/>
                <w:bCs/>
                <w:color w:val="000000"/>
              </w:rPr>
              <w:t>ному ремонту и ремонту дорожных объектов муниципальной собственн</w:t>
            </w:r>
            <w:r w:rsidRPr="000D23A2">
              <w:rPr>
                <w:b/>
                <w:bCs/>
                <w:color w:val="000000"/>
              </w:rPr>
              <w:t>о</w:t>
            </w:r>
            <w:r w:rsidRPr="000D23A2">
              <w:rPr>
                <w:b/>
                <w:bCs/>
                <w:color w:val="000000"/>
              </w:rPr>
              <w:t>сти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25 000 000,00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0,00</w:t>
            </w:r>
          </w:p>
        </w:tc>
      </w:tr>
      <w:tr w:rsidR="00F83D15" w:rsidRPr="000D23A2" w:rsidTr="00420D4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rPr>
                <w:color w:val="000000"/>
              </w:rPr>
            </w:pPr>
            <w:r w:rsidRPr="000D23A2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color w:val="000000"/>
              </w:rPr>
            </w:pPr>
            <w:r w:rsidRPr="000D23A2">
              <w:rPr>
                <w:color w:val="000000"/>
              </w:rPr>
              <w:t>25 000 000,00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color w:val="000000"/>
              </w:rPr>
            </w:pPr>
            <w:r w:rsidRPr="000D23A2">
              <w:rPr>
                <w:color w:val="000000"/>
              </w:rPr>
              <w:t>0,00</w:t>
            </w:r>
          </w:p>
        </w:tc>
      </w:tr>
      <w:tr w:rsidR="00F83D15" w:rsidRPr="000D23A2" w:rsidTr="00420D4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6. Межбюджетные трансферты на реализацию мероприятий по приведению в нормативное состояние автомобильных дорог местного значения, обесп</w:t>
            </w:r>
            <w:r w:rsidRPr="000D23A2">
              <w:rPr>
                <w:b/>
                <w:bCs/>
                <w:color w:val="000000"/>
              </w:rPr>
              <w:t>е</w:t>
            </w:r>
            <w:r w:rsidRPr="000D23A2">
              <w:rPr>
                <w:b/>
                <w:bCs/>
                <w:color w:val="000000"/>
              </w:rPr>
              <w:t>чивающих подъезды к объектам социального назначения,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3 614 066,00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0,00</w:t>
            </w:r>
          </w:p>
        </w:tc>
      </w:tr>
      <w:tr w:rsidR="00F83D15" w:rsidRPr="000D23A2" w:rsidTr="00420D4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rPr>
                <w:color w:val="000000"/>
              </w:rPr>
            </w:pPr>
            <w:r w:rsidRPr="000D23A2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color w:val="000000"/>
              </w:rPr>
            </w:pPr>
            <w:r w:rsidRPr="000D23A2">
              <w:rPr>
                <w:color w:val="000000"/>
              </w:rPr>
              <w:t>3 614 066,00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color w:val="000000"/>
              </w:rPr>
            </w:pPr>
            <w:r w:rsidRPr="000D23A2">
              <w:rPr>
                <w:color w:val="000000"/>
              </w:rPr>
              <w:t>0,00</w:t>
            </w:r>
          </w:p>
        </w:tc>
      </w:tr>
      <w:tr w:rsidR="00F83D15" w:rsidRPr="000D23A2" w:rsidTr="00420D4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7. Иные межбюджетные трансферты на осуществление части полномочий Борисоглебского сельского поселения по решению вопросов местного зн</w:t>
            </w:r>
            <w:r w:rsidRPr="000D23A2">
              <w:rPr>
                <w:b/>
                <w:bCs/>
                <w:color w:val="000000"/>
              </w:rPr>
              <w:t>а</w:t>
            </w:r>
            <w:r w:rsidRPr="000D23A2">
              <w:rPr>
                <w:b/>
                <w:bCs/>
                <w:color w:val="000000"/>
              </w:rPr>
              <w:t>чения по созданию условий для обеспечения жителей поселения услугами бытового обслуживания в части создания условий для обеспечения жит</w:t>
            </w:r>
            <w:r w:rsidRPr="000D23A2">
              <w:rPr>
                <w:b/>
                <w:bCs/>
                <w:color w:val="000000"/>
              </w:rPr>
              <w:t>е</w:t>
            </w:r>
            <w:r w:rsidRPr="000D23A2">
              <w:rPr>
                <w:b/>
                <w:bCs/>
                <w:color w:val="000000"/>
              </w:rPr>
              <w:t>лей поселения услугами бань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480 000,00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480 000,00</w:t>
            </w:r>
          </w:p>
        </w:tc>
      </w:tr>
      <w:tr w:rsidR="00F83D15" w:rsidRPr="000D23A2" w:rsidTr="00420D4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rPr>
                <w:color w:val="000000"/>
              </w:rPr>
            </w:pPr>
            <w:r w:rsidRPr="000D23A2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color w:val="000000"/>
              </w:rPr>
            </w:pPr>
            <w:r w:rsidRPr="000D23A2">
              <w:rPr>
                <w:color w:val="000000"/>
              </w:rPr>
              <w:t>480 000,00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color w:val="000000"/>
              </w:rPr>
            </w:pPr>
            <w:r w:rsidRPr="000D23A2">
              <w:rPr>
                <w:color w:val="000000"/>
              </w:rPr>
              <w:t>480 000,00</w:t>
            </w:r>
          </w:p>
        </w:tc>
      </w:tr>
      <w:tr w:rsidR="00F83D15" w:rsidRPr="000D23A2" w:rsidTr="00420D4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8. Иные межбюджетные трансферты на осуществление части полномочий Борисоглебского сельского поселения по решению вопросов местного зн</w:t>
            </w:r>
            <w:r w:rsidRPr="000D23A2">
              <w:rPr>
                <w:b/>
                <w:bCs/>
                <w:color w:val="000000"/>
              </w:rPr>
              <w:t>а</w:t>
            </w:r>
            <w:r w:rsidRPr="000D23A2">
              <w:rPr>
                <w:b/>
                <w:bCs/>
                <w:color w:val="000000"/>
              </w:rPr>
              <w:t>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0,00</w:t>
            </w:r>
          </w:p>
        </w:tc>
      </w:tr>
      <w:tr w:rsidR="00F83D15" w:rsidRPr="000D23A2" w:rsidTr="00420D4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rPr>
                <w:color w:val="000000"/>
              </w:rPr>
            </w:pPr>
            <w:r w:rsidRPr="000D23A2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color w:val="000000"/>
              </w:rPr>
            </w:pPr>
            <w:r w:rsidRPr="000D23A2">
              <w:rPr>
                <w:color w:val="000000"/>
              </w:rPr>
              <w:t>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color w:val="000000"/>
              </w:rPr>
            </w:pPr>
            <w:r w:rsidRPr="000D23A2">
              <w:rPr>
                <w:color w:val="000000"/>
              </w:rPr>
              <w:t>0,00</w:t>
            </w:r>
          </w:p>
        </w:tc>
      </w:tr>
      <w:tr w:rsidR="00F83D15" w:rsidRPr="000D23A2" w:rsidTr="00420D4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9. Иные межбюджетные трансферты на осуществление переданных полн</w:t>
            </w:r>
            <w:r w:rsidRPr="000D23A2">
              <w:rPr>
                <w:b/>
                <w:bCs/>
                <w:color w:val="000000"/>
              </w:rPr>
              <w:t>о</w:t>
            </w:r>
            <w:r w:rsidRPr="000D23A2">
              <w:rPr>
                <w:b/>
                <w:bCs/>
                <w:color w:val="000000"/>
              </w:rPr>
              <w:t>мочий контрольно-счетного органа Борисоглебского сельского поселения по осуществлению внешнего муниципального финансового контроля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83 020,48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0,00</w:t>
            </w:r>
          </w:p>
        </w:tc>
      </w:tr>
      <w:tr w:rsidR="00F83D15" w:rsidRPr="000D23A2" w:rsidTr="00420D4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rPr>
                <w:color w:val="000000"/>
              </w:rPr>
            </w:pPr>
            <w:r w:rsidRPr="000D23A2">
              <w:rPr>
                <w:color w:val="000000"/>
              </w:rPr>
              <w:lastRenderedPageBreak/>
              <w:t>Борисоглебское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color w:val="000000"/>
              </w:rPr>
            </w:pPr>
            <w:r w:rsidRPr="000D23A2">
              <w:rPr>
                <w:color w:val="000000"/>
              </w:rPr>
              <w:t>83 020,48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color w:val="000000"/>
              </w:rPr>
            </w:pPr>
            <w:r w:rsidRPr="000D23A2">
              <w:rPr>
                <w:color w:val="000000"/>
              </w:rPr>
              <w:t>0,00</w:t>
            </w:r>
          </w:p>
        </w:tc>
      </w:tr>
      <w:tr w:rsidR="00F83D15" w:rsidRPr="000D23A2" w:rsidTr="00420D4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10. Иные межбюджетные трансферты на осуществление части полномочий Борисоглебского сельского поселения по решению вопросов местного зн</w:t>
            </w:r>
            <w:r w:rsidRPr="000D23A2">
              <w:rPr>
                <w:b/>
                <w:bCs/>
                <w:color w:val="000000"/>
              </w:rPr>
              <w:t>а</w:t>
            </w:r>
            <w:r w:rsidRPr="000D23A2">
              <w:rPr>
                <w:b/>
                <w:bCs/>
                <w:color w:val="000000"/>
              </w:rPr>
              <w:t>чения по созданию условий для обеспечения жителей поселения услугами бытового обслуживания, части создания условий для обеспечения жителей поселения услугами бань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72 300,00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72 300,00</w:t>
            </w:r>
          </w:p>
        </w:tc>
      </w:tr>
      <w:tr w:rsidR="00F83D15" w:rsidRPr="000D23A2" w:rsidTr="00420D4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rPr>
                <w:color w:val="000000"/>
              </w:rPr>
            </w:pPr>
            <w:r w:rsidRPr="000D23A2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color w:val="000000"/>
              </w:rPr>
            </w:pPr>
            <w:r w:rsidRPr="000D23A2">
              <w:rPr>
                <w:color w:val="000000"/>
              </w:rPr>
              <w:t>72 300,00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color w:val="000000"/>
              </w:rPr>
            </w:pPr>
            <w:r w:rsidRPr="000D23A2">
              <w:rPr>
                <w:color w:val="000000"/>
              </w:rPr>
              <w:t>72 300,00</w:t>
            </w:r>
          </w:p>
        </w:tc>
      </w:tr>
      <w:tr w:rsidR="00F83D15" w:rsidRPr="000D23A2" w:rsidTr="00420D4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11. Иные межбюджетные трансферты на осуществление части полномочий Борисоглебского сельского поселения по решению вопросов местного зн</w:t>
            </w:r>
            <w:r w:rsidRPr="000D23A2">
              <w:rPr>
                <w:b/>
                <w:bCs/>
                <w:color w:val="000000"/>
              </w:rPr>
              <w:t>а</w:t>
            </w:r>
            <w:r w:rsidRPr="000D23A2">
              <w:rPr>
                <w:b/>
                <w:bCs/>
                <w:color w:val="000000"/>
              </w:rPr>
              <w:t>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2 669,07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0,00</w:t>
            </w:r>
          </w:p>
        </w:tc>
      </w:tr>
      <w:tr w:rsidR="00F83D15" w:rsidRPr="000D23A2" w:rsidTr="00420D4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rPr>
                <w:color w:val="000000"/>
              </w:rPr>
            </w:pPr>
            <w:r w:rsidRPr="000D23A2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color w:val="000000"/>
              </w:rPr>
            </w:pPr>
            <w:r w:rsidRPr="000D23A2">
              <w:rPr>
                <w:color w:val="000000"/>
              </w:rPr>
              <w:t>2 669,07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color w:val="000000"/>
              </w:rPr>
            </w:pPr>
            <w:r w:rsidRPr="000D23A2">
              <w:rPr>
                <w:color w:val="000000"/>
              </w:rPr>
              <w:t>0,00</w:t>
            </w:r>
          </w:p>
        </w:tc>
      </w:tr>
      <w:tr w:rsidR="00F83D15" w:rsidRPr="000D23A2" w:rsidTr="00420D4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12. Межбюджетные трансферты на осуществление переданных полномочий по организации муниципального контроля в дорожном хозяйстве в отн</w:t>
            </w:r>
            <w:r w:rsidRPr="000D23A2">
              <w:rPr>
                <w:b/>
                <w:bCs/>
                <w:color w:val="000000"/>
              </w:rPr>
              <w:t>о</w:t>
            </w:r>
            <w:r w:rsidRPr="000D23A2">
              <w:rPr>
                <w:b/>
                <w:bCs/>
                <w:color w:val="000000"/>
              </w:rPr>
              <w:t>шении автомобильных дорог местного значения в границах населенных пунктов поселения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6 330,04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0,00</w:t>
            </w:r>
          </w:p>
        </w:tc>
      </w:tr>
      <w:tr w:rsidR="00F83D15" w:rsidRPr="000D23A2" w:rsidTr="00420D4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rPr>
                <w:color w:val="000000"/>
              </w:rPr>
            </w:pPr>
            <w:r w:rsidRPr="000D23A2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color w:val="000000"/>
              </w:rPr>
            </w:pPr>
            <w:r w:rsidRPr="000D23A2">
              <w:rPr>
                <w:color w:val="000000"/>
              </w:rPr>
              <w:t>6 330,04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color w:val="000000"/>
              </w:rPr>
            </w:pPr>
            <w:r w:rsidRPr="000D23A2">
              <w:rPr>
                <w:color w:val="000000"/>
              </w:rPr>
              <w:t>0,00</w:t>
            </w:r>
          </w:p>
        </w:tc>
      </w:tr>
      <w:tr w:rsidR="00F83D15" w:rsidRPr="000D23A2" w:rsidTr="00420D4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33 859 199,59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D15" w:rsidRPr="000D23A2" w:rsidRDefault="00F83D15" w:rsidP="00420D4F">
            <w:pPr>
              <w:jc w:val="right"/>
              <w:rPr>
                <w:b/>
                <w:bCs/>
                <w:color w:val="000000"/>
              </w:rPr>
            </w:pPr>
            <w:r w:rsidRPr="000D23A2">
              <w:rPr>
                <w:b/>
                <w:bCs/>
                <w:color w:val="000000"/>
              </w:rPr>
              <w:t>552 300,00</w:t>
            </w:r>
          </w:p>
        </w:tc>
      </w:tr>
    </w:tbl>
    <w:p w:rsidR="00155A9B" w:rsidRPr="00F83D15" w:rsidRDefault="00155A9B" w:rsidP="00F83D15"/>
    <w:sectPr w:rsidR="00155A9B" w:rsidRPr="00F83D15" w:rsidSect="003907A1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C93" w:rsidRDefault="008D1C93" w:rsidP="003907A1">
      <w:r>
        <w:separator/>
      </w:r>
    </w:p>
  </w:endnote>
  <w:endnote w:type="continuationSeparator" w:id="0">
    <w:p w:rsidR="008D1C93" w:rsidRDefault="008D1C93" w:rsidP="0039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907A1">
      <w:tc>
        <w:tcPr>
          <w:tcW w:w="10704" w:type="dxa"/>
        </w:tcPr>
        <w:p w:rsidR="003907A1" w:rsidRDefault="00155A9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3907A1" w:rsidRDefault="003907A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C93" w:rsidRDefault="008D1C93" w:rsidP="003907A1">
      <w:r>
        <w:separator/>
      </w:r>
    </w:p>
  </w:footnote>
  <w:footnote w:type="continuationSeparator" w:id="0">
    <w:p w:rsidR="008D1C93" w:rsidRDefault="008D1C93" w:rsidP="00390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907A1">
      <w:tc>
        <w:tcPr>
          <w:tcW w:w="10704" w:type="dxa"/>
        </w:tcPr>
        <w:p w:rsidR="003907A1" w:rsidRDefault="003907A1">
          <w:pPr>
            <w:jc w:val="center"/>
            <w:rPr>
              <w:color w:val="000000"/>
            </w:rPr>
          </w:pPr>
          <w:r>
            <w:fldChar w:fldCharType="begin"/>
          </w:r>
          <w:r w:rsidR="00155A9B">
            <w:rPr>
              <w:color w:val="000000"/>
            </w:rPr>
            <w:instrText>PAGE</w:instrText>
          </w:r>
          <w:r>
            <w:fldChar w:fldCharType="separate"/>
          </w:r>
          <w:r w:rsidR="00F83D15">
            <w:rPr>
              <w:noProof/>
              <w:color w:val="000000"/>
            </w:rPr>
            <w:t>2</w:t>
          </w:r>
          <w:r>
            <w:fldChar w:fldCharType="end"/>
          </w:r>
        </w:p>
        <w:p w:rsidR="003907A1" w:rsidRDefault="003907A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7A1"/>
    <w:rsid w:val="00155A9B"/>
    <w:rsid w:val="003907A1"/>
    <w:rsid w:val="00702EE7"/>
    <w:rsid w:val="008D1C93"/>
    <w:rsid w:val="00F8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907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E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02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2022-12-23T11:54:00Z</cp:lastPrinted>
  <dcterms:created xsi:type="dcterms:W3CDTF">2022-12-23T11:54:00Z</dcterms:created>
  <dcterms:modified xsi:type="dcterms:W3CDTF">2023-05-31T12:26:00Z</dcterms:modified>
</cp:coreProperties>
</file>