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0E48" w:rsidRPr="007D2D2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48" w:rsidRPr="007D2D2F" w:rsidRDefault="00D90E4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0E48" w:rsidRPr="007D2D2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0E48" w:rsidRPr="007D2D2F" w:rsidRDefault="00076D05" w:rsidP="007D2D2F">
                  <w:pPr>
                    <w:jc w:val="both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>Приложение №11 к Решению Муниц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7D2D2F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90E48" w:rsidRPr="007D2D2F" w:rsidRDefault="00D90E48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0E48" w:rsidRPr="007D2D2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D2D2F" w:rsidRDefault="00076D05" w:rsidP="007D2D2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Распределение иных межбюджетных трансфертов, передаваемых бюджетам </w:t>
            </w:r>
          </w:p>
          <w:p w:rsidR="007D2D2F" w:rsidRDefault="00076D05" w:rsidP="007D2D2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муниципальных районов из бюджетов сельских поселений на осуществление части </w:t>
            </w:r>
          </w:p>
          <w:p w:rsidR="007D2D2F" w:rsidRDefault="00076D05" w:rsidP="007D2D2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полномочий по решению вопросов местного значения </w:t>
            </w:r>
          </w:p>
          <w:p w:rsidR="00D90E48" w:rsidRPr="007D2D2F" w:rsidRDefault="00076D05" w:rsidP="006A765D">
            <w:pPr>
              <w:ind w:firstLine="420"/>
              <w:jc w:val="center"/>
              <w:rPr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 xml:space="preserve">на плановый период 2022 и 2023 </w:t>
            </w:r>
            <w:r w:rsidR="007D2D2F" w:rsidRPr="007D2D2F">
              <w:rPr>
                <w:b/>
                <w:bCs/>
                <w:color w:val="000000"/>
                <w:sz w:val="24"/>
                <w:szCs w:val="24"/>
              </w:rPr>
              <w:t>год</w:t>
            </w:r>
            <w:bookmarkStart w:id="0" w:name="_GoBack"/>
            <w:bookmarkEnd w:id="0"/>
          </w:p>
        </w:tc>
      </w:tr>
    </w:tbl>
    <w:p w:rsidR="00D90E48" w:rsidRPr="007D2D2F" w:rsidRDefault="00D90E48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168"/>
        <w:gridCol w:w="1701"/>
        <w:gridCol w:w="1620"/>
      </w:tblGrid>
      <w:tr w:rsidR="00D90E48" w:rsidRPr="007D2D2F" w:rsidTr="007D2D2F">
        <w:trPr>
          <w:trHeight w:val="849"/>
          <w:tblHeader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D90E48" w:rsidRPr="007D2D2F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Pr="007D2D2F" w:rsidRDefault="00D90E4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 w:rsidRPr="007D2D2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Pr="007D2D2F" w:rsidRDefault="00D90E4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 w:rsidRPr="007D2D2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D90E48" w:rsidRPr="007D2D2F" w:rsidRDefault="00076D05">
                  <w:pPr>
                    <w:jc w:val="center"/>
                    <w:rPr>
                      <w:sz w:val="24"/>
                      <w:szCs w:val="24"/>
                    </w:rPr>
                  </w:pPr>
                  <w:r w:rsidRPr="007D2D2F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90E48" w:rsidRPr="007D2D2F" w:rsidRDefault="00D90E4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1. Иные межбюджетные трансферты на осуществление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2. Осуществление мероприятий по организации библиотечного обслуживания населения, комплектованию и обеспечению с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3. Иные межбюджетные трансферты на осуществление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4. Иные межбюджетные трансферты на осуществление мер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приятий для развития физической культуры и массового спо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5.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7.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lastRenderedPageBreak/>
              <w:t>данных полномочий по исполнению бюджета поселения в части казначейского исполнения бюджета Борисоглебского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lastRenderedPageBreak/>
              <w:t>80 672,00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lastRenderedPageBreak/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8.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контрольно-счетного органа Борисогле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ского сельского поселения по осуществлению внешнего мун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68 355,87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9.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организации библиотечного обслуж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вания населения Борисоглебского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10.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созданию условий для организации д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суга жителей Борисоглебского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11.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циальных физкультурно-оздоровительных и спортивных м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12. Иные межбюджетные трансферты на осуществление пер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данных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13.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14.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2D2F">
              <w:rPr>
                <w:b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2 520,00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color w:val="000000"/>
                <w:sz w:val="24"/>
                <w:szCs w:val="24"/>
              </w:rPr>
            </w:pPr>
            <w:r w:rsidRPr="007D2D2F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D90E48" w:rsidRPr="007D2D2F" w:rsidTr="007D2D2F"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1 548 820,71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Pr="007D2D2F" w:rsidRDefault="00076D0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D2D2F">
              <w:rPr>
                <w:b/>
                <w:bCs/>
                <w:color w:val="000000"/>
                <w:sz w:val="24"/>
                <w:szCs w:val="24"/>
              </w:rPr>
              <w:t>72 875,87</w:t>
            </w:r>
          </w:p>
        </w:tc>
      </w:tr>
    </w:tbl>
    <w:p w:rsidR="00076D05" w:rsidRPr="007D2D2F" w:rsidRDefault="00076D05">
      <w:pPr>
        <w:rPr>
          <w:sz w:val="24"/>
          <w:szCs w:val="24"/>
        </w:rPr>
      </w:pPr>
    </w:p>
    <w:sectPr w:rsidR="00076D05" w:rsidRPr="007D2D2F" w:rsidSect="00D90E4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90" w:rsidRDefault="00143990" w:rsidP="00D90E48">
      <w:r>
        <w:separator/>
      </w:r>
    </w:p>
  </w:endnote>
  <w:endnote w:type="continuationSeparator" w:id="0">
    <w:p w:rsidR="00143990" w:rsidRDefault="00143990" w:rsidP="00D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076D0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0E48" w:rsidRDefault="00D90E4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90" w:rsidRDefault="00143990" w:rsidP="00D90E48">
      <w:r>
        <w:separator/>
      </w:r>
    </w:p>
  </w:footnote>
  <w:footnote w:type="continuationSeparator" w:id="0">
    <w:p w:rsidR="00143990" w:rsidRDefault="00143990" w:rsidP="00D9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D90E48">
          <w:pPr>
            <w:jc w:val="center"/>
            <w:rPr>
              <w:color w:val="000000"/>
            </w:rPr>
          </w:pPr>
          <w:r>
            <w:fldChar w:fldCharType="begin"/>
          </w:r>
          <w:r w:rsidR="00076D05">
            <w:rPr>
              <w:color w:val="000000"/>
            </w:rPr>
            <w:instrText>PAGE</w:instrText>
          </w:r>
          <w:r>
            <w:fldChar w:fldCharType="separate"/>
          </w:r>
          <w:r w:rsidR="006A765D">
            <w:rPr>
              <w:noProof/>
              <w:color w:val="000000"/>
            </w:rPr>
            <w:t>2</w:t>
          </w:r>
          <w:r>
            <w:fldChar w:fldCharType="end"/>
          </w:r>
        </w:p>
        <w:p w:rsidR="00D90E48" w:rsidRDefault="00D90E4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E48"/>
    <w:rsid w:val="00076D05"/>
    <w:rsid w:val="00143990"/>
    <w:rsid w:val="00181CC3"/>
    <w:rsid w:val="001E32D7"/>
    <w:rsid w:val="006A765D"/>
    <w:rsid w:val="006D3F53"/>
    <w:rsid w:val="007D2D2F"/>
    <w:rsid w:val="00CD7427"/>
    <w:rsid w:val="00D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0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2021-12-24T10:01:00Z</dcterms:created>
  <dcterms:modified xsi:type="dcterms:W3CDTF">2022-08-11T12:55:00Z</dcterms:modified>
</cp:coreProperties>
</file>