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06E53" w:rsidRPr="009C0C3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E53" w:rsidRPr="009C0C3C" w:rsidRDefault="00C06E5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06E53" w:rsidRPr="009C0C3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06E53" w:rsidRPr="009C0C3C" w:rsidRDefault="007B2AA2">
                  <w:pPr>
                    <w:jc w:val="both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Приложение №2 к Решению Муниц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 (в редакции Р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549, от 17.08.2022 551, от 12.09.2022 № 555)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06E53" w:rsidRPr="009C0C3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9C0C3C" w:rsidRDefault="007B2AA2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Борисоглебского сельского поселения </w:t>
            </w:r>
          </w:p>
          <w:p w:rsidR="00C06E53" w:rsidRPr="009C0C3C" w:rsidRDefault="007B2AA2">
            <w:pPr>
              <w:ind w:firstLine="420"/>
              <w:jc w:val="center"/>
              <w:rPr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C06E53" w:rsidRPr="009C0C3C" w:rsidRDefault="00C06E53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C06E53" w:rsidRPr="009C0C3C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C06E53" w:rsidRPr="009C0C3C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06E53" w:rsidRPr="009C0C3C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06E53" w:rsidRPr="009C0C3C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06E53" w:rsidRPr="009C0C3C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9C0C3C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E53" w:rsidRPr="009C0C3C" w:rsidRDefault="00C06E5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06E53" w:rsidRPr="009C0C3C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C06E53" w:rsidRPr="009C0C3C" w:rsidRDefault="007B2AA2">
                  <w:pPr>
                    <w:jc w:val="center"/>
                    <w:rPr>
                      <w:sz w:val="24"/>
                      <w:szCs w:val="24"/>
                    </w:rPr>
                  </w:pPr>
                  <w:r w:rsidRPr="009C0C3C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06E53" w:rsidRPr="009C0C3C" w:rsidRDefault="00C06E5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туризма и молодежной политики в 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"Организация досуга и обеспечения жителей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равного доступа к культурным благам и возмо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тий по обеспечению жителей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 услугами организаций культуры за счет средств бю</w:t>
            </w:r>
            <w:r w:rsidRPr="009C0C3C">
              <w:rPr>
                <w:color w:val="000000"/>
                <w:sz w:val="24"/>
                <w:szCs w:val="24"/>
              </w:rPr>
              <w:t>д</w:t>
            </w:r>
            <w:r w:rsidRPr="009C0C3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лиотечного дела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хранности библиотечного фо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Осуществление мероприятий по организации библиотечного о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шения молодежи к проблемам общества и окружающей среды, способствующего росту уровня жизни молодого поколения пос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"Физическая культура и спорт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 xml:space="preserve">тий для развития физической культуры и массового спорта на территории Борисоглебского сельского поселения за счет 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услугами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по поддержке проведения капитального р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9C0C3C">
              <w:rPr>
                <w:color w:val="000000"/>
                <w:sz w:val="24"/>
                <w:szCs w:val="24"/>
              </w:rPr>
              <w:t>у</w:t>
            </w:r>
            <w:r w:rsidRPr="009C0C3C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местного сам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552 500,00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552 500,00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организационно-методического и аналитическ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онального развития и подгото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муниципальных служащих к обучению, повыш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вития кадрового потенциала и повышения эффективности м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9C0C3C">
              <w:rPr>
                <w:color w:val="000000"/>
                <w:sz w:val="24"/>
                <w:szCs w:val="24"/>
              </w:rPr>
              <w:t>м</w:t>
            </w:r>
            <w:r w:rsidRPr="009C0C3C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322 500,00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7 392 690,00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грамма по переселению граждан из аварийного жилищного фонда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6 765 601,00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Переселение граждан из авари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6 765 601,00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тия малоэтажного жилищного строительства, за счет средств, поступивших от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9C0C3C">
              <w:rPr>
                <w:color w:val="000000"/>
                <w:sz w:val="24"/>
                <w:szCs w:val="24"/>
              </w:rPr>
              <w:t>й</w:t>
            </w:r>
            <w:r w:rsidRPr="009C0C3C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9C0C3C">
              <w:rPr>
                <w:color w:val="000000"/>
                <w:sz w:val="24"/>
                <w:szCs w:val="24"/>
              </w:rPr>
              <w:t>щ</w:t>
            </w:r>
            <w:r w:rsidRPr="009C0C3C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тия малоэтажного жилищного строительства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Финансирование мероприятий по переселению граждан из ав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рийного жилищного фонда, в том числе переселению граждан из аварийного жилищного фонда с учетом необходимости разв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тия малоэтажного жилищного строительства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13 438,00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жилья через создание условий для сбалансированного увелич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строительства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Реализация задач в поддержку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задач в поддержку граждан, проживающих на те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лодых семей, проживающих на территории Борисоглебского сельского поселения, в приобр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Поддержка молодых семей, проживающих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дорожного хозя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22 981 109,20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22 981 109,20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ремонт и содержание дорог общего пол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18 205 298,20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бильных дорог Борисоглебского сельского поселения в границах населенных пунктов в границах поселения за счет средств бю</w:t>
            </w:r>
            <w:r w:rsidRPr="009C0C3C">
              <w:rPr>
                <w:color w:val="000000"/>
                <w:sz w:val="24"/>
                <w:szCs w:val="24"/>
              </w:rPr>
              <w:t>д</w:t>
            </w:r>
            <w:r w:rsidRPr="009C0C3C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5 067 560,78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мостовых и иных конструкций в границах нас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 границах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конструкций на них вне границ населенных пунктов Борисогле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9C0C3C">
              <w:rPr>
                <w:color w:val="000000"/>
                <w:sz w:val="24"/>
                <w:szCs w:val="24"/>
              </w:rPr>
              <w:t>я</w:t>
            </w:r>
            <w:r w:rsidRPr="009C0C3C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Капитальный ремонт, ремонт и содержание автомобильных д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рог Борисоглебского сельского поселения вне границ населе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"Защита населения и террит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го поселения от чрезвычайных ситуаций, обеспечение пожа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lastRenderedPageBreak/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193 662,48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печение пожарной безопасности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193 662,48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Организация и осуществление мероприятий по пожарной бе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135 753,68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Организация и 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57 908,80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 Благоустройство территории Борисоглебского сельского п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30 146 910,94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30 146 910,94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Организация взаимодействия между предприятиями, орган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24 573 542,87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рий и обустройству территорий для выгула животных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Реконструкция искусственных сооружений за счет средств о</w:t>
            </w:r>
            <w:r w:rsidRPr="009C0C3C">
              <w:rPr>
                <w:color w:val="000000"/>
                <w:sz w:val="24"/>
                <w:szCs w:val="24"/>
              </w:rPr>
              <w:t>б</w:t>
            </w:r>
            <w:r w:rsidRPr="009C0C3C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9C0C3C">
              <w:rPr>
                <w:color w:val="000000"/>
                <w:sz w:val="24"/>
                <w:szCs w:val="24"/>
              </w:rPr>
              <w:t>к</w:t>
            </w:r>
            <w:r w:rsidRPr="009C0C3C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980 000,00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уличное освещение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3 023 368,07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Бор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возмещению части затрат организациям и и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Борисогле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"Формирование современной городской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род-ской среды Борисоглебского сельско-го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безопасности д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 Борисоглебского муниципал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lastRenderedPageBreak/>
              <w:t>ного района Ярославской 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Подпрограмма "Повышение бе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совершенств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349 600,70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Муниципальная программа "Использование и охрана з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C0C3C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Подпрограмма "Использование и охрана земель на территории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9C0C3C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Мероприятия по обеспечению организации рационального и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пользования и охраны земель на территории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EB4DDF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9C0C3C">
              <w:rPr>
                <w:i/>
                <w:iCs/>
                <w:color w:val="000000"/>
                <w:sz w:val="24"/>
                <w:szCs w:val="24"/>
              </w:rPr>
              <w:t>7 565 046,65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полномочий по решению вопросов местного значения: дорожная деятел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ных дорог местного значения вне границ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</w:t>
            </w:r>
            <w:bookmarkStart w:id="1" w:name="_GoBack"/>
            <w:bookmarkEnd w:id="1"/>
            <w:r w:rsidRPr="009C0C3C">
              <w:rPr>
                <w:color w:val="000000"/>
                <w:sz w:val="24"/>
                <w:szCs w:val="24"/>
              </w:rPr>
              <w:t>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инского учета на территориях, где отсутствуют военные коми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5 269 861,96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1 108 563,14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433 016,22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исполнению бюджета поселения в части ка</w:t>
            </w:r>
            <w:r w:rsidRPr="009C0C3C">
              <w:rPr>
                <w:color w:val="000000"/>
                <w:sz w:val="24"/>
                <w:szCs w:val="24"/>
              </w:rPr>
              <w:t>з</w:t>
            </w:r>
            <w:r w:rsidRPr="009C0C3C">
              <w:rPr>
                <w:color w:val="000000"/>
                <w:sz w:val="24"/>
                <w:szCs w:val="24"/>
              </w:rPr>
              <w:t>начейского исполнения бюджета Борисоглебского сельского п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контрольно-счетного органа Борисоглебск</w:t>
            </w:r>
            <w:r w:rsidRPr="009C0C3C">
              <w:rPr>
                <w:color w:val="000000"/>
                <w:sz w:val="24"/>
                <w:szCs w:val="24"/>
              </w:rPr>
              <w:t>о</w:t>
            </w:r>
            <w:r w:rsidRPr="009C0C3C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9C0C3C">
              <w:rPr>
                <w:color w:val="000000"/>
                <w:sz w:val="24"/>
                <w:szCs w:val="24"/>
              </w:rPr>
              <w:t>у</w:t>
            </w:r>
            <w:r w:rsidRPr="009C0C3C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созданию условий для организации досуга жителей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lastRenderedPageBreak/>
              <w:t>нию условий для развития на территории Борисоглебского сельского поселения физической культуры и массового спорта и организации проведения офиц</w:t>
            </w:r>
            <w:r w:rsidRPr="009C0C3C">
              <w:rPr>
                <w:color w:val="000000"/>
                <w:sz w:val="24"/>
                <w:szCs w:val="24"/>
              </w:rPr>
              <w:t>и</w:t>
            </w:r>
            <w:r w:rsidRPr="009C0C3C">
              <w:rPr>
                <w:color w:val="000000"/>
                <w:sz w:val="24"/>
                <w:szCs w:val="24"/>
              </w:rPr>
              <w:t>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9C0C3C">
              <w:rPr>
                <w:color w:val="000000"/>
                <w:sz w:val="24"/>
                <w:szCs w:val="24"/>
              </w:rPr>
              <w:t>н</w:t>
            </w:r>
            <w:r w:rsidRPr="009C0C3C">
              <w:rPr>
                <w:color w:val="000000"/>
                <w:sz w:val="24"/>
                <w:szCs w:val="24"/>
              </w:rPr>
              <w:t>ных полномочий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9C0C3C">
              <w:rPr>
                <w:color w:val="000000"/>
                <w:sz w:val="24"/>
                <w:szCs w:val="24"/>
              </w:rPr>
              <w:t>ж</w:t>
            </w:r>
            <w:r w:rsidRPr="009C0C3C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созданию условий для обеспеч</w:t>
            </w:r>
            <w:r w:rsidRPr="009C0C3C">
              <w:rPr>
                <w:color w:val="000000"/>
                <w:sz w:val="24"/>
                <w:szCs w:val="24"/>
              </w:rPr>
              <w:t>е</w:t>
            </w:r>
            <w:r w:rsidRPr="009C0C3C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9C0C3C">
              <w:rPr>
                <w:color w:val="000000"/>
                <w:sz w:val="24"/>
                <w:szCs w:val="24"/>
              </w:rPr>
              <w:t>а</w:t>
            </w:r>
            <w:r w:rsidRPr="009C0C3C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9C0C3C">
              <w:rPr>
                <w:color w:val="000000"/>
                <w:sz w:val="24"/>
                <w:szCs w:val="24"/>
              </w:rPr>
              <w:t>с</w:t>
            </w:r>
            <w:r w:rsidRPr="009C0C3C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6 331,60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9C0C3C">
              <w:rPr>
                <w:color w:val="000000"/>
                <w:sz w:val="24"/>
                <w:szCs w:val="24"/>
              </w:rPr>
              <w:t>р</w:t>
            </w:r>
            <w:r w:rsidRPr="009C0C3C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9C0C3C">
              <w:rPr>
                <w:color w:val="000000"/>
                <w:sz w:val="24"/>
                <w:szCs w:val="24"/>
              </w:rPr>
              <w:t>л</w:t>
            </w:r>
            <w:r w:rsidRPr="009C0C3C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9C0C3C">
              <w:rPr>
                <w:color w:val="000000"/>
                <w:sz w:val="24"/>
                <w:szCs w:val="24"/>
              </w:rPr>
              <w:t>ь</w:t>
            </w:r>
            <w:r w:rsidRPr="009C0C3C">
              <w:rPr>
                <w:color w:val="000000"/>
                <w:sz w:val="24"/>
                <w:szCs w:val="24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jc w:val="center"/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C0C3C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C06E53" w:rsidRPr="009C0C3C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7B2AA2">
            <w:pPr>
              <w:rPr>
                <w:color w:val="000000"/>
                <w:sz w:val="24"/>
                <w:szCs w:val="24"/>
              </w:rPr>
            </w:pPr>
            <w:r w:rsidRPr="009C0C3C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6E53" w:rsidRPr="009C0C3C" w:rsidRDefault="00C06E5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7B2AA2" w:rsidRDefault="007B2AA2"/>
    <w:sectPr w:rsidR="007B2AA2" w:rsidSect="00C06E5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9CD" w:rsidRDefault="00BB79CD" w:rsidP="00C06E53">
      <w:r>
        <w:separator/>
      </w:r>
    </w:p>
  </w:endnote>
  <w:endnote w:type="continuationSeparator" w:id="0">
    <w:p w:rsidR="00BB79CD" w:rsidRDefault="00BB79CD" w:rsidP="00C0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7B2AA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6E53" w:rsidRDefault="00C06E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9CD" w:rsidRDefault="00BB79CD" w:rsidP="00C06E53">
      <w:r>
        <w:separator/>
      </w:r>
    </w:p>
  </w:footnote>
  <w:footnote w:type="continuationSeparator" w:id="0">
    <w:p w:rsidR="00BB79CD" w:rsidRDefault="00BB79CD" w:rsidP="00C0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6E53">
      <w:tc>
        <w:tcPr>
          <w:tcW w:w="10704" w:type="dxa"/>
        </w:tcPr>
        <w:p w:rsidR="00C06E53" w:rsidRDefault="00C06E53">
          <w:pPr>
            <w:jc w:val="center"/>
            <w:rPr>
              <w:color w:val="000000"/>
            </w:rPr>
          </w:pPr>
          <w:r>
            <w:fldChar w:fldCharType="begin"/>
          </w:r>
          <w:r w:rsidR="007B2AA2">
            <w:rPr>
              <w:color w:val="000000"/>
            </w:rPr>
            <w:instrText>PAGE</w:instrText>
          </w:r>
          <w:r>
            <w:fldChar w:fldCharType="separate"/>
          </w:r>
          <w:r w:rsidR="00EB4DDF">
            <w:rPr>
              <w:noProof/>
              <w:color w:val="000000"/>
            </w:rPr>
            <w:t>16</w:t>
          </w:r>
          <w:r>
            <w:fldChar w:fldCharType="end"/>
          </w:r>
        </w:p>
        <w:p w:rsidR="00C06E53" w:rsidRDefault="00C06E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6E53"/>
    <w:rsid w:val="007B2AA2"/>
    <w:rsid w:val="009C0C3C"/>
    <w:rsid w:val="00B20CB0"/>
    <w:rsid w:val="00BB79CD"/>
    <w:rsid w:val="00C06E53"/>
    <w:rsid w:val="00E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6E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2022-09-15T06:09:00Z</dcterms:created>
  <dcterms:modified xsi:type="dcterms:W3CDTF">2022-09-15T06:14:00Z</dcterms:modified>
</cp:coreProperties>
</file>