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9351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16" w:rsidRDefault="00D93516">
            <w:pPr>
              <w:spacing w:line="1" w:lineRule="auto"/>
              <w:jc w:val="both"/>
            </w:pPr>
            <w:bookmarkStart w:id="0" w:name="_GoBack"/>
            <w:bookmarkEnd w:id="0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9351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93516" w:rsidRDefault="00645D5C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№10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</w:t>
                  </w:r>
                </w:p>
              </w:tc>
            </w:tr>
          </w:tbl>
          <w:p w:rsidR="00D93516" w:rsidRDefault="00D93516">
            <w:pPr>
              <w:spacing w:line="1" w:lineRule="auto"/>
            </w:pPr>
          </w:p>
        </w:tc>
      </w:tr>
    </w:tbl>
    <w:p w:rsidR="00D93516" w:rsidRDefault="00D93516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9351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93516" w:rsidRDefault="00645D5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иных межбюджетных трансфертов, передаваемых бюджетам муниципальных районов из бюджетов сельских поселений на осуществление ч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сти полномочий по решению вопросов местного значения на 2022 год</w:t>
            </w:r>
          </w:p>
        </w:tc>
      </w:tr>
    </w:tbl>
    <w:p w:rsidR="00D93516" w:rsidRDefault="00D93516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9072"/>
        <w:gridCol w:w="1417"/>
      </w:tblGrid>
      <w:tr w:rsidR="00D93516">
        <w:trPr>
          <w:tblHeader/>
        </w:trPr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9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22"/>
            </w:tblGrid>
            <w:tr w:rsidR="00D93516">
              <w:trPr>
                <w:jc w:val="center"/>
              </w:trPr>
              <w:tc>
                <w:tcPr>
                  <w:tcW w:w="89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3516" w:rsidRDefault="00645D5C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D93516" w:rsidRDefault="00D93516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3516" w:rsidRDefault="00D9351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9351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3516" w:rsidRDefault="00645D5C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2022 год </w:t>
                  </w:r>
                </w:p>
                <w:p w:rsidR="00D93516" w:rsidRDefault="00645D5C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D93516" w:rsidRDefault="00D93516">
            <w:pPr>
              <w:spacing w:line="1" w:lineRule="auto"/>
            </w:pP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Иные межбюджетные трансферты на осуществление мероприятий по обеспечению жителей Борисоглебского сельского поселения усл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гами организаций культуры за счет средств бюджета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641 829,34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641 829,34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Осуществлен</w:t>
            </w:r>
            <w:r>
              <w:rPr>
                <w:b/>
                <w:bCs/>
                <w:color w:val="000000"/>
                <w:sz w:val="28"/>
                <w:szCs w:val="28"/>
              </w:rPr>
              <w:t>ие мероприятий по организации библиотечного о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служивания населения, комплектованию и обеспечению сохранности библиотечных фондов библиотек Борисоглебского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 за счет средств бюджета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340 611,73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40 611,73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 Иные межбюджетные трансферты на осуществление мероприятий по работе с детьми и молодежью Борисоглебского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 за счет средств бюджета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72 624,53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72 624,53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Иные межбюджетные трансферты на осуществление мероприятий для развития физической культуры и массового спорта на террит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рии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95 604,43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95 604,43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5.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Иные межбюджетные трансферты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на осуществление части полн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создания усл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вий для обесп</w:t>
            </w:r>
            <w:r>
              <w:rPr>
                <w:b/>
                <w:bCs/>
                <w:color w:val="000000"/>
                <w:sz w:val="28"/>
                <w:szCs w:val="28"/>
              </w:rPr>
              <w:t>ечения жителей поселения услугами бань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348 000,00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348 000,00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6. Иные межбюджетные трансферты на осуществление части полн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мочий Борисоглебского сельского поселения по решению вопросов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местного значения по организации риту</w:t>
            </w:r>
            <w:r>
              <w:rPr>
                <w:b/>
                <w:bCs/>
                <w:color w:val="000000"/>
                <w:sz w:val="28"/>
                <w:szCs w:val="28"/>
              </w:rPr>
              <w:t>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2 000,00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7. Иные межбюджетные трансферты на осуществление переданных полномочий по исполнению бюджета поселения в части казначе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ского исполнения бюджета Борисоглебского сельского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80 672,00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8. Иные межбюджетные трансферты на осуществление переданных полномочий контрольно-счетного органа Борисоглебского сельского поселения по осуществлению внешнего муниципального финансов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го контроля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68 355,87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9. И</w:t>
            </w:r>
            <w:r>
              <w:rPr>
                <w:b/>
                <w:bCs/>
                <w:color w:val="000000"/>
                <w:sz w:val="28"/>
                <w:szCs w:val="28"/>
              </w:rPr>
              <w:t>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57 587,00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10. Иные межбюджетные трансферты на осуществл</w:t>
            </w:r>
            <w:r>
              <w:rPr>
                <w:b/>
                <w:bCs/>
                <w:color w:val="000000"/>
                <w:sz w:val="28"/>
                <w:szCs w:val="28"/>
              </w:rPr>
              <w:t>ение переданных полномочий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113 188,00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11.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вого спорта и организации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проведения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официальных физкультурно-оздоровит</w:t>
            </w:r>
            <w:r>
              <w:rPr>
                <w:b/>
                <w:bCs/>
                <w:color w:val="000000"/>
                <w:sz w:val="28"/>
                <w:szCs w:val="28"/>
              </w:rPr>
              <w:t>ельных и спортивных мероприятий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15 886,00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12. Иные межбюджетные трансферты на осуществление переданных полномочий по организации мероприятий по работе с детьми и м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лодежью в Борисоглебском сельском поселении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b/>
                <w:bCs/>
                <w:color w:val="000000"/>
                <w:sz w:val="28"/>
                <w:szCs w:val="28"/>
              </w:rPr>
              <w:t> 915,00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13. Иные межбюджетные трансферты на осуществление части по</w:t>
            </w:r>
            <w:r>
              <w:rPr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b/>
                <w:bCs/>
                <w:color w:val="000000"/>
                <w:sz w:val="28"/>
                <w:szCs w:val="28"/>
              </w:rPr>
              <w:t>номочий Борисоглебского сельского поселения по решению вопросов местного значения по созданию условий для обеспечения жителей поселения услугам</w:t>
            </w:r>
            <w:r>
              <w:rPr>
                <w:b/>
                <w:bCs/>
                <w:color w:val="000000"/>
                <w:sz w:val="28"/>
                <w:szCs w:val="28"/>
              </w:rPr>
              <w:t>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68 261,00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68 261,00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14. Иные межбюджетные трансферты на осуществление части по</w:t>
            </w:r>
            <w:r>
              <w:rPr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b/>
                <w:bCs/>
                <w:color w:val="000000"/>
                <w:sz w:val="28"/>
                <w:szCs w:val="28"/>
              </w:rPr>
              <w:t>номочий Борисоглебского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2 520,00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D93516">
        <w:tc>
          <w:tcPr>
            <w:tcW w:w="907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1 919 054,90</w:t>
            </w:r>
          </w:p>
        </w:tc>
      </w:tr>
    </w:tbl>
    <w:p w:rsidR="00645D5C" w:rsidRDefault="00645D5C"/>
    <w:sectPr w:rsidR="00645D5C" w:rsidSect="00D9351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5C" w:rsidRDefault="00645D5C" w:rsidP="00D93516">
      <w:r>
        <w:separator/>
      </w:r>
    </w:p>
  </w:endnote>
  <w:endnote w:type="continuationSeparator" w:id="0">
    <w:p w:rsidR="00645D5C" w:rsidRDefault="00645D5C" w:rsidP="00D9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93516">
      <w:tc>
        <w:tcPr>
          <w:tcW w:w="10704" w:type="dxa"/>
        </w:tcPr>
        <w:p w:rsidR="00D93516" w:rsidRDefault="00645D5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93516" w:rsidRDefault="00D9351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5C" w:rsidRDefault="00645D5C" w:rsidP="00D93516">
      <w:r>
        <w:separator/>
      </w:r>
    </w:p>
  </w:footnote>
  <w:footnote w:type="continuationSeparator" w:id="0">
    <w:p w:rsidR="00645D5C" w:rsidRDefault="00645D5C" w:rsidP="00D93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93516">
      <w:tc>
        <w:tcPr>
          <w:tcW w:w="10704" w:type="dxa"/>
        </w:tcPr>
        <w:p w:rsidR="00D93516" w:rsidRDefault="00D93516">
          <w:pPr>
            <w:jc w:val="center"/>
            <w:rPr>
              <w:color w:val="000000"/>
            </w:rPr>
          </w:pPr>
          <w:r>
            <w:fldChar w:fldCharType="begin"/>
          </w:r>
          <w:r w:rsidR="00645D5C">
            <w:rPr>
              <w:color w:val="000000"/>
            </w:rPr>
            <w:instrText>PAGE</w:instrText>
          </w:r>
          <w:r w:rsidR="00E151FD">
            <w:fldChar w:fldCharType="separate"/>
          </w:r>
          <w:r w:rsidR="00E151FD">
            <w:rPr>
              <w:noProof/>
              <w:color w:val="000000"/>
            </w:rPr>
            <w:t>2</w:t>
          </w:r>
          <w:r>
            <w:fldChar w:fldCharType="end"/>
          </w:r>
        </w:p>
        <w:p w:rsidR="00D93516" w:rsidRDefault="00D9351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516"/>
    <w:rsid w:val="00645D5C"/>
    <w:rsid w:val="00D93516"/>
    <w:rsid w:val="00E1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935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2021-12-24T10:01:00Z</dcterms:created>
  <dcterms:modified xsi:type="dcterms:W3CDTF">2021-12-24T10:01:00Z</dcterms:modified>
</cp:coreProperties>
</file>